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15 Pearson Road Aylesham Canterbury</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2</w:t>
            </w:r>
            <w:r>
              <w:rPr>
                <w:b/>
                <w:sz w:val="20"/>
              </w:rPr>
              <w:t xml:space="preserve"> Bedroom </w:t>
            </w:r>
            <w:r>
              <w:rPr>
                <w:b/>
                <w:sz w:val="20"/>
              </w:rPr>
              <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£282,500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£4.86</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rPr>
                      <w:b/>
                      <w:sz w:val="20"/>
                    </w:rPr>
                  </w:pPr>
                  <w:r>
                    <w:rPr>
                      <w:b/>
                      <w:sz w:val="20"/>
                    </w:rPr>
                    <w:t>£28,250.00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£5.83</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£56,500.00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£5.18</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£84,750.00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£4.53</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£113,000.00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£3.88</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£141,250.00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£3.24</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£169,500.00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£2.59</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£197,750.00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£1.94</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£211,875.00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£1.62</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0.03%</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£0.00</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£29.23</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£39.90</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leasehold title remains in your name but your shared ownership obligations fall away</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
            </w:r>
            <w:r w:rsidR="006F6FC3">
              <w:rPr>
                <w:b/>
                <w:color w:val="2C3B46"/>
                <w:sz w:val="20"/>
              </w:rPr>
              <w:t xml:space="preserve"> for the previous 12 months [plus </w:t>
            </w:r>
            <w:r>
              <w:rPr>
                <w:b/>
                <w:color w:val="2C3B46"/>
                <w:sz w:val="20"/>
              </w:rPr>
              <w:t>1%</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1700" w14:textId="77777777" w:rsidR="003D5950" w:rsidRDefault="003D5950">
      <w:r>
        <w:separator/>
      </w:r>
    </w:p>
  </w:endnote>
  <w:endnote w:type="continuationSeparator" w:id="0">
    <w:p w14:paraId="01882CE4"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C26C" w14:textId="77777777" w:rsidR="003D5950" w:rsidRDefault="003D5950">
      <w:r>
        <w:separator/>
      </w:r>
    </w:p>
  </w:footnote>
  <w:footnote w:type="continuationSeparator" w:id="0">
    <w:p w14:paraId="0B516AE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e9b8e2bcc2614a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Neil Martin</cp:lastModifiedBy>
  <cp:revision>2</cp:revision>
  <dcterms:created xsi:type="dcterms:W3CDTF">2024-10-28T10:16:00Z</dcterms:created>
  <dcterms:modified xsi:type="dcterms:W3CDTF">2024-10-28T10:16:00Z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